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654" w:rsidRDefault="004452D9" w:rsidP="00445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2D9">
        <w:rPr>
          <w:rFonts w:ascii="Times New Roman" w:hAnsi="Times New Roman" w:cs="Times New Roman"/>
          <w:b/>
          <w:sz w:val="28"/>
          <w:szCs w:val="28"/>
        </w:rPr>
        <w:t>Статистическая информация о ходе размещения заказов для государственных нужд (среднее количество участников торгов, процент экономии)</w:t>
      </w:r>
      <w:r>
        <w:rPr>
          <w:rFonts w:ascii="Times New Roman" w:hAnsi="Times New Roman" w:cs="Times New Roman"/>
          <w:b/>
          <w:sz w:val="28"/>
          <w:szCs w:val="28"/>
        </w:rPr>
        <w:t xml:space="preserve"> за три квартала 2020 года</w:t>
      </w:r>
    </w:p>
    <w:p w:rsidR="00057618" w:rsidRDefault="00057618" w:rsidP="004452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618" w:rsidRDefault="00057618" w:rsidP="00057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Количество участников торгов за три квартала 2020г. – 22;</w:t>
      </w:r>
    </w:p>
    <w:p w:rsidR="00057618" w:rsidRPr="00057618" w:rsidRDefault="00057618" w:rsidP="00057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Процент экономии за три квартала 2020г. – 8,23%.</w:t>
      </w:r>
      <w:bookmarkStart w:id="0" w:name="_GoBack"/>
      <w:bookmarkEnd w:id="0"/>
    </w:p>
    <w:p w:rsidR="004452D9" w:rsidRDefault="004452D9" w:rsidP="004452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D9" w:rsidRPr="004452D9" w:rsidRDefault="004452D9" w:rsidP="004452D9">
      <w:pPr>
        <w:rPr>
          <w:rFonts w:ascii="Times New Roman" w:hAnsi="Times New Roman" w:cs="Times New Roman"/>
          <w:sz w:val="28"/>
          <w:szCs w:val="28"/>
        </w:rPr>
      </w:pPr>
    </w:p>
    <w:sectPr w:rsidR="004452D9" w:rsidRPr="0044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2F"/>
    <w:rsid w:val="00057618"/>
    <w:rsid w:val="004452D9"/>
    <w:rsid w:val="00DC5A2F"/>
    <w:rsid w:val="00E3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1E7BE-9A27-4BD0-BAB0-6BC7F6FD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2020-11-02T08:39:00Z</dcterms:created>
  <dcterms:modified xsi:type="dcterms:W3CDTF">2020-11-02T08:52:00Z</dcterms:modified>
</cp:coreProperties>
</file>