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C2" w:rsidRDefault="00F61BC2" w:rsidP="00F61B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Наблюдается положительная динамика по въездному туристско-экскурсионному потоку, который по сравнению с аналогичным периодом 2018 года увеличился на 37 %. </w:t>
      </w:r>
    </w:p>
    <w:p w:rsidR="00F61BC2" w:rsidRDefault="00F61BC2" w:rsidP="00F61B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Чеченская Республика в первом полугодии 2019 года приняла 99345 туристов и экскурсантов (2018 г. – 72404 чел.), из них иностранные граждане -  2400 чел. (2018 г. – 1395 чел.), </w:t>
      </w:r>
      <w:r>
        <w:rPr>
          <w:rFonts w:ascii="Times New Roman" w:hAnsi="Times New Roman" w:cs="Times New Roman"/>
          <w:sz w:val="28"/>
          <w:szCs w:val="28"/>
        </w:rPr>
        <w:t>увеличение на 72 %.</w:t>
      </w:r>
    </w:p>
    <w:p w:rsidR="00F61BC2" w:rsidRDefault="00F61BC2" w:rsidP="00F61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размещенных в гостиницах и аналогичных средствах размещения республики составило 38006 чел., в сравнении с уровнем 2018 года наблюдается увеличение на 78,5 %, количество иностранных граждан – 2247 чел., увеличение на 61 %.</w:t>
      </w:r>
    </w:p>
    <w:p w:rsidR="00F61BC2" w:rsidRDefault="00F61BC2" w:rsidP="00F61B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обслуженных экскурсантов – 61339 тыс. чел., увеличение                       в сравнении с аналогичным периодом 2018 года - на 20 %.</w:t>
      </w:r>
    </w:p>
    <w:p w:rsidR="00F61BC2" w:rsidRPr="002375EF" w:rsidRDefault="00F61BC2" w:rsidP="00F61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гостиниц и аналогичных средств размещения составляет 43 ед.*, что больше уровня 2018 года на 53,5 %, количество номеров - 1886 ед., увеличение – на 27 %. Количество сотрудников в них составляет 959 чел. </w:t>
      </w:r>
    </w:p>
    <w:p w:rsidR="004C1097" w:rsidRDefault="004C1097"/>
    <w:sectPr w:rsidR="004C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D9"/>
    <w:rsid w:val="004C1097"/>
    <w:rsid w:val="00712815"/>
    <w:rsid w:val="00F61BC2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BEE5-7434-43ED-9387-F1CB790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2020-08-06T08:35:00Z</dcterms:created>
  <dcterms:modified xsi:type="dcterms:W3CDTF">2020-08-06T08:35:00Z</dcterms:modified>
</cp:coreProperties>
</file>